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23B2" w14:textId="77777777" w:rsidR="007D360A" w:rsidRDefault="00000000">
      <w:pPr>
        <w:pStyle w:val="BodyA"/>
        <w:spacing w:after="0"/>
        <w:jc w:val="right"/>
        <w:rPr>
          <w:b/>
          <w:bCs/>
          <w:sz w:val="34"/>
          <w:szCs w:val="34"/>
        </w:rPr>
      </w:pPr>
      <w:r>
        <w:rPr>
          <w:rFonts w:ascii="Arial" w:hAnsi="Arial"/>
          <w:noProof/>
          <w:color w:val="DCF2FF"/>
          <w:u w:color="DCF2FF"/>
        </w:rPr>
        <w:drawing>
          <wp:inline distT="0" distB="0" distL="0" distR="0" wp14:anchorId="485B641B" wp14:editId="751C2CC2">
            <wp:extent cx="5295900" cy="793750"/>
            <wp:effectExtent l="0" t="0" r="0" b="0"/>
            <wp:docPr id="1073741825" name="officeArt object" descr="BIO-utah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O-utah-logo.png" descr="BIO-utah-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93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C952CA5" w14:textId="77777777" w:rsidR="007D360A" w:rsidRDefault="00000000">
      <w:pPr>
        <w:pStyle w:val="BodyA"/>
        <w:spacing w:after="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  <w:lang w:val="es-ES_tradnl"/>
        </w:rPr>
        <w:t xml:space="preserve">LEGISLATIVE &amp; POLICY UPDATE </w:t>
      </w:r>
      <w:r>
        <w:rPr>
          <w:b/>
          <w:bCs/>
          <w:sz w:val="34"/>
          <w:szCs w:val="34"/>
          <w:lang w:val="de-DE"/>
        </w:rPr>
        <w:t xml:space="preserve">AGENDA </w:t>
      </w:r>
    </w:p>
    <w:p w14:paraId="71DE8CA1" w14:textId="77777777" w:rsidR="007D360A" w:rsidRDefault="00000000">
      <w:pPr>
        <w:pStyle w:val="BodyA"/>
        <w:spacing w:after="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MAY 25</w:t>
      </w:r>
      <w:r>
        <w:rPr>
          <w:b/>
          <w:bCs/>
          <w:sz w:val="34"/>
          <w:szCs w:val="34"/>
          <w:lang w:val="de-DE"/>
        </w:rPr>
        <w:t xml:space="preserve">, 2023 </w:t>
      </w:r>
    </w:p>
    <w:p w14:paraId="01C602C4" w14:textId="77777777" w:rsidR="007D360A" w:rsidRDefault="00000000">
      <w:pPr>
        <w:pStyle w:val="BodyA"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34"/>
          <w:szCs w:val="34"/>
        </w:rPr>
        <w:t xml:space="preserve">10:00 a.m. </w:t>
      </w:r>
      <w:r>
        <w:rPr>
          <w:b/>
          <w:bCs/>
          <w:sz w:val="32"/>
          <w:szCs w:val="32"/>
          <w:lang w:val="pt-PT"/>
        </w:rPr>
        <w:t xml:space="preserve">MT </w:t>
      </w:r>
    </w:p>
    <w:p w14:paraId="2464B980" w14:textId="77777777" w:rsidR="007D360A" w:rsidRDefault="00000000">
      <w:pPr>
        <w:pStyle w:val="BodyA"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CALL IN INFORMATION: (267) 807-9601; Pin: 150038993#</w:t>
      </w:r>
    </w:p>
    <w:p w14:paraId="472D21FE" w14:textId="77777777" w:rsidR="007D360A" w:rsidRDefault="007D360A">
      <w:pPr>
        <w:pStyle w:val="BodyC"/>
        <w:rPr>
          <w:b/>
          <w:bCs/>
          <w:color w:val="3366FF"/>
          <w:sz w:val="26"/>
          <w:szCs w:val="26"/>
          <w:u w:color="3366FF"/>
        </w:rPr>
      </w:pPr>
    </w:p>
    <w:p w14:paraId="297DEA7C" w14:textId="77777777" w:rsidR="007D360A" w:rsidRDefault="00000000">
      <w:pPr>
        <w:pStyle w:val="ListParagraph"/>
        <w:numPr>
          <w:ilvl w:val="0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A"/>
          <w:b/>
          <w:bCs/>
          <w:sz w:val="26"/>
          <w:szCs w:val="26"/>
        </w:rPr>
        <w:t xml:space="preserve">STATE LEGISLATIVE AND POLICY ACTIVITY REPORT </w:t>
      </w:r>
    </w:p>
    <w:p w14:paraId="5E996F63" w14:textId="77777777" w:rsidR="007D360A" w:rsidRDefault="00000000">
      <w:pPr>
        <w:pStyle w:val="ListParagraph"/>
        <w:numPr>
          <w:ilvl w:val="1"/>
          <w:numId w:val="2"/>
        </w:numPr>
        <w:spacing w:after="0"/>
        <w:rPr>
          <w:b/>
          <w:bCs/>
          <w:color w:val="0000FF"/>
          <w:sz w:val="26"/>
          <w:szCs w:val="26"/>
        </w:rPr>
      </w:pPr>
      <w:hyperlink r:id="rId8" w:history="1">
        <w:r>
          <w:rPr>
            <w:rStyle w:val="Hyperlink0"/>
            <w:b/>
            <w:bCs/>
            <w:color w:val="0000FF"/>
            <w:sz w:val="26"/>
            <w:szCs w:val="26"/>
          </w:rPr>
          <w:t>Legislative Interim Study Items</w:t>
        </w:r>
      </w:hyperlink>
      <w:r>
        <w:rPr>
          <w:rStyle w:val="None"/>
          <w:b/>
          <w:bCs/>
          <w:color w:val="0000FF"/>
          <w:sz w:val="26"/>
          <w:szCs w:val="26"/>
          <w:u w:color="0000FF"/>
        </w:rPr>
        <w:t xml:space="preserve"> </w:t>
      </w:r>
    </w:p>
    <w:p w14:paraId="3F5308B9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A"/>
          <w:b/>
          <w:bCs/>
          <w:sz w:val="26"/>
          <w:szCs w:val="26"/>
        </w:rPr>
        <w:t>Noncompete Restrictions – Business &amp; Labor</w:t>
      </w:r>
    </w:p>
    <w:p w14:paraId="6F82804A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A"/>
          <w:b/>
          <w:bCs/>
          <w:sz w:val="26"/>
          <w:szCs w:val="26"/>
        </w:rPr>
        <w:t xml:space="preserve">Copay Accumulators – Business &amp; Labor </w:t>
      </w:r>
    </w:p>
    <w:p w14:paraId="7C8083FA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A"/>
          <w:b/>
          <w:bCs/>
          <w:sz w:val="26"/>
          <w:szCs w:val="26"/>
        </w:rPr>
        <w:t xml:space="preserve">Workforce Expansion – Economic Development &amp; Workforce Services </w:t>
      </w:r>
    </w:p>
    <w:p w14:paraId="6953F9A4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A"/>
          <w:b/>
          <w:bCs/>
          <w:sz w:val="26"/>
          <w:szCs w:val="26"/>
        </w:rPr>
        <w:t xml:space="preserve">AI Discussions </w:t>
      </w:r>
    </w:p>
    <w:p w14:paraId="559CF11A" w14:textId="77777777" w:rsidR="007D360A" w:rsidRDefault="00000000">
      <w:pPr>
        <w:pStyle w:val="ListParagraph"/>
        <w:numPr>
          <w:ilvl w:val="1"/>
          <w:numId w:val="2"/>
        </w:numPr>
        <w:spacing w:after="0"/>
        <w:rPr>
          <w:b/>
          <w:bCs/>
          <w:color w:val="0000FF"/>
          <w:sz w:val="26"/>
          <w:szCs w:val="26"/>
        </w:rPr>
      </w:pPr>
      <w:hyperlink r:id="rId9" w:history="1">
        <w:r>
          <w:rPr>
            <w:rStyle w:val="Hyperlink0"/>
            <w:b/>
            <w:bCs/>
            <w:color w:val="0000FF"/>
            <w:sz w:val="26"/>
            <w:szCs w:val="26"/>
          </w:rPr>
          <w:t>Interim Meeting Schedule</w:t>
        </w:r>
      </w:hyperlink>
      <w:r>
        <w:rPr>
          <w:rStyle w:val="None"/>
          <w:b/>
          <w:bCs/>
          <w:color w:val="0000FF"/>
          <w:sz w:val="26"/>
          <w:szCs w:val="26"/>
          <w:u w:color="0000FF"/>
        </w:rPr>
        <w:t xml:space="preserve"> </w:t>
      </w:r>
    </w:p>
    <w:p w14:paraId="00DA5B33" w14:textId="77777777" w:rsidR="007D360A" w:rsidRDefault="00000000">
      <w:pPr>
        <w:pStyle w:val="ListParagraph"/>
        <w:numPr>
          <w:ilvl w:val="1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"/>
          <w:b/>
          <w:bCs/>
          <w:sz w:val="26"/>
          <w:szCs w:val="26"/>
          <w:u w:color="0000FF"/>
        </w:rPr>
        <w:t xml:space="preserve">Utah Life Sciences Innovation Caucus </w:t>
      </w:r>
    </w:p>
    <w:p w14:paraId="53E96474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"/>
          <w:b/>
          <w:bCs/>
          <w:sz w:val="26"/>
          <w:szCs w:val="26"/>
          <w:u w:color="0000FF"/>
        </w:rPr>
        <w:t xml:space="preserve">Wednesday, June 14, 2023 </w:t>
      </w:r>
    </w:p>
    <w:p w14:paraId="3BBFA76F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color w:val="0000FF"/>
          <w:sz w:val="26"/>
          <w:szCs w:val="26"/>
        </w:rPr>
      </w:pPr>
      <w:proofErr w:type="gramStart"/>
      <w:r>
        <w:rPr>
          <w:rStyle w:val="None"/>
          <w:b/>
          <w:bCs/>
          <w:sz w:val="26"/>
          <w:szCs w:val="26"/>
          <w:u w:color="0000FF"/>
        </w:rPr>
        <w:t>September,</w:t>
      </w:r>
      <w:proofErr w:type="gramEnd"/>
      <w:r>
        <w:rPr>
          <w:rStyle w:val="None"/>
          <w:b/>
          <w:bCs/>
          <w:sz w:val="26"/>
          <w:szCs w:val="26"/>
          <w:u w:color="0000FF"/>
        </w:rPr>
        <w:t xml:space="preserve"> 2023 </w:t>
      </w:r>
    </w:p>
    <w:p w14:paraId="428724D7" w14:textId="77777777" w:rsidR="007D360A" w:rsidRDefault="00000000">
      <w:pPr>
        <w:pStyle w:val="ListParagraph"/>
        <w:numPr>
          <w:ilvl w:val="1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"/>
          <w:b/>
          <w:bCs/>
          <w:sz w:val="26"/>
          <w:szCs w:val="26"/>
          <w:u w:color="0000FF"/>
        </w:rPr>
        <w:t>Utah System of Higher Education Board Appointees</w:t>
      </w:r>
    </w:p>
    <w:p w14:paraId="559D2BF0" w14:textId="77777777" w:rsidR="007D360A" w:rsidRDefault="00000000">
      <w:pPr>
        <w:pStyle w:val="ListParagraph"/>
        <w:numPr>
          <w:ilvl w:val="1"/>
          <w:numId w:val="2"/>
        </w:numPr>
        <w:spacing w:after="0"/>
        <w:rPr>
          <w:b/>
          <w:bCs/>
          <w:sz w:val="26"/>
          <w:szCs w:val="26"/>
        </w:rPr>
      </w:pPr>
      <w:r>
        <w:rPr>
          <w:rStyle w:val="None"/>
          <w:b/>
          <w:bCs/>
          <w:sz w:val="26"/>
          <w:szCs w:val="26"/>
          <w:u w:color="0000FF"/>
        </w:rPr>
        <w:t xml:space="preserve">Utah Economic Opportunity Commission </w:t>
      </w:r>
    </w:p>
    <w:p w14:paraId="09AB7C3E" w14:textId="77777777" w:rsidR="007D360A" w:rsidRDefault="00000000">
      <w:pPr>
        <w:pStyle w:val="ListParagraph"/>
        <w:numPr>
          <w:ilvl w:val="1"/>
          <w:numId w:val="2"/>
        </w:numPr>
        <w:spacing w:after="0"/>
        <w:rPr>
          <w:b/>
          <w:bCs/>
          <w:sz w:val="26"/>
          <w:szCs w:val="26"/>
        </w:rPr>
      </w:pPr>
      <w:hyperlink r:id="rId10" w:history="1">
        <w:r>
          <w:rPr>
            <w:rStyle w:val="Hyperlink1"/>
            <w:b/>
            <w:bCs/>
            <w:sz w:val="26"/>
            <w:szCs w:val="26"/>
          </w:rPr>
          <w:t>Governor’s Office of Economic Opportunity Funding</w:t>
        </w:r>
      </w:hyperlink>
      <w:r>
        <w:rPr>
          <w:rStyle w:val="NoneA"/>
          <w:b/>
          <w:bCs/>
          <w:sz w:val="26"/>
          <w:szCs w:val="26"/>
        </w:rPr>
        <w:t xml:space="preserve"> </w:t>
      </w:r>
    </w:p>
    <w:p w14:paraId="12CA1923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hyperlink r:id="rId11" w:history="1">
        <w:r>
          <w:rPr>
            <w:rStyle w:val="Hyperlink1"/>
            <w:b/>
            <w:bCs/>
            <w:sz w:val="26"/>
            <w:szCs w:val="26"/>
          </w:rPr>
          <w:t>Manufacturing Modernization Grants</w:t>
        </w:r>
      </w:hyperlink>
      <w:r>
        <w:rPr>
          <w:rStyle w:val="None"/>
          <w:b/>
          <w:bCs/>
          <w:color w:val="0000FF"/>
          <w:sz w:val="26"/>
          <w:szCs w:val="26"/>
          <w:u w:color="0000FF"/>
        </w:rPr>
        <w:t xml:space="preserve"> </w:t>
      </w:r>
      <w:r>
        <w:rPr>
          <w:rStyle w:val="NoneA"/>
          <w:b/>
          <w:bCs/>
          <w:sz w:val="26"/>
          <w:szCs w:val="26"/>
        </w:rPr>
        <w:t>- $10M</w:t>
      </w:r>
    </w:p>
    <w:p w14:paraId="6E33198C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hyperlink r:id="rId12" w:history="1">
        <w:r>
          <w:rPr>
            <w:rStyle w:val="Hyperlink1"/>
            <w:b/>
            <w:bCs/>
            <w:sz w:val="26"/>
            <w:szCs w:val="26"/>
          </w:rPr>
          <w:t>Economic Assistance Grants</w:t>
        </w:r>
      </w:hyperlink>
      <w:r>
        <w:rPr>
          <w:rStyle w:val="None"/>
          <w:b/>
          <w:bCs/>
          <w:color w:val="0000FF"/>
          <w:sz w:val="26"/>
          <w:szCs w:val="26"/>
          <w:u w:color="0000FF"/>
        </w:rPr>
        <w:t xml:space="preserve"> </w:t>
      </w:r>
      <w:r>
        <w:rPr>
          <w:rStyle w:val="NoneA"/>
          <w:b/>
          <w:bCs/>
          <w:sz w:val="26"/>
          <w:szCs w:val="26"/>
        </w:rPr>
        <w:t xml:space="preserve">- $4.5M </w:t>
      </w:r>
    </w:p>
    <w:p w14:paraId="3967F4CA" w14:textId="77777777" w:rsidR="007D360A" w:rsidRDefault="00000000">
      <w:pPr>
        <w:pStyle w:val="ListParagraph"/>
        <w:numPr>
          <w:ilvl w:val="2"/>
          <w:numId w:val="2"/>
        </w:numPr>
        <w:spacing w:after="0"/>
        <w:rPr>
          <w:b/>
          <w:bCs/>
          <w:sz w:val="26"/>
          <w:szCs w:val="26"/>
        </w:rPr>
      </w:pPr>
      <w:hyperlink r:id="rId13" w:history="1">
        <w:r>
          <w:rPr>
            <w:rStyle w:val="Hyperlink1"/>
            <w:b/>
            <w:bCs/>
            <w:sz w:val="26"/>
            <w:szCs w:val="26"/>
          </w:rPr>
          <w:t>Utah Technology Innovation Funding</w:t>
        </w:r>
      </w:hyperlink>
      <w:r>
        <w:rPr>
          <w:rStyle w:val="NoneA"/>
          <w:b/>
          <w:bCs/>
          <w:sz w:val="26"/>
          <w:szCs w:val="26"/>
        </w:rPr>
        <w:t xml:space="preserve"> </w:t>
      </w:r>
    </w:p>
    <w:p w14:paraId="6426B6A2" w14:textId="77777777" w:rsidR="007D360A" w:rsidRDefault="007D360A">
      <w:pPr>
        <w:pStyle w:val="ListParagraph"/>
        <w:spacing w:after="0"/>
        <w:ind w:left="2160"/>
        <w:rPr>
          <w:rStyle w:val="None"/>
          <w:b/>
          <w:bCs/>
          <w:sz w:val="26"/>
          <w:szCs w:val="26"/>
        </w:rPr>
      </w:pPr>
    </w:p>
    <w:p w14:paraId="3C39491B" w14:textId="77777777" w:rsidR="007D360A" w:rsidRDefault="00000000">
      <w:pPr>
        <w:pStyle w:val="BodyB"/>
        <w:numPr>
          <w:ilvl w:val="0"/>
          <w:numId w:val="5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 xml:space="preserve">FEDERAL LEGISLATION AND POLICY  </w:t>
      </w:r>
    </w:p>
    <w:p w14:paraId="7CB66BFE" w14:textId="77777777" w:rsidR="007D360A" w:rsidRDefault="00000000">
      <w:pPr>
        <w:pStyle w:val="BodyB"/>
        <w:numPr>
          <w:ilvl w:val="1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Debt Ceiling</w:t>
      </w:r>
    </w:p>
    <w:p w14:paraId="7D59F1A5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 xml:space="preserve"> Clean Debt Ceiling Non-Starter</w:t>
      </w:r>
    </w:p>
    <w:p w14:paraId="7E98493D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14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House Speaker McCarthy’s Plan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>/Negotiations</w:t>
      </w:r>
    </w:p>
    <w:p w14:paraId="333EA491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15" w:history="1">
        <w:r>
          <w:rPr>
            <w:rStyle w:val="Hyperlink2"/>
            <w:rFonts w:ascii="Calibri" w:hAnsi="Calibri"/>
            <w:b/>
            <w:bCs/>
            <w:sz w:val="26"/>
            <w:szCs w:val="26"/>
          </w:rPr>
          <w:t>H.R. 277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>/</w:t>
      </w:r>
      <w:hyperlink r:id="rId16" w:history="1">
        <w:r>
          <w:rPr>
            <w:rStyle w:val="Hyperlink2"/>
            <w:rFonts w:ascii="Calibri" w:hAnsi="Calibri"/>
            <w:b/>
            <w:bCs/>
            <w:sz w:val="26"/>
            <w:szCs w:val="26"/>
          </w:rPr>
          <w:t>S. 184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>, The Regulations from the Executive in Need of Scrutiny Act, (REINS Act) Included in House Bill</w:t>
      </w:r>
    </w:p>
    <w:p w14:paraId="053C2ED0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 xml:space="preserve">43 Republican Senators Sign </w:t>
      </w:r>
      <w:hyperlink r:id="rId17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Letter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 xml:space="preserve"> for Budget Cuts/Reforms</w:t>
      </w:r>
    </w:p>
    <w:p w14:paraId="70DC96C2" w14:textId="77777777" w:rsidR="007D360A" w:rsidRDefault="00000000">
      <w:pPr>
        <w:pStyle w:val="BodyB"/>
        <w:numPr>
          <w:ilvl w:val="1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Drug Pricing</w:t>
      </w:r>
    </w:p>
    <w:p w14:paraId="59908F54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 xml:space="preserve">Senate HELP Committee Markup </w:t>
      </w:r>
    </w:p>
    <w:p w14:paraId="19D7774A" w14:textId="77777777" w:rsidR="007D360A" w:rsidRDefault="00000000">
      <w:pPr>
        <w:pStyle w:val="BodyB"/>
        <w:numPr>
          <w:ilvl w:val="3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PBM Reform</w:t>
      </w:r>
    </w:p>
    <w:p w14:paraId="7A080954" w14:textId="77777777" w:rsidR="007D360A" w:rsidRDefault="00000000">
      <w:pPr>
        <w:pStyle w:val="Default"/>
        <w:numPr>
          <w:ilvl w:val="4"/>
          <w:numId w:val="7"/>
        </w:numPr>
        <w:spacing w:before="0" w:line="240" w:lineRule="auto"/>
        <w:rPr>
          <w:rFonts w:ascii="Arial" w:eastAsia="Arial" w:hAnsi="Arial" w:cs="Arial"/>
          <w:b/>
          <w:bCs/>
          <w:sz w:val="26"/>
          <w:szCs w:val="26"/>
        </w:rPr>
      </w:pPr>
      <w:hyperlink r:id="rId18" w:history="1">
        <w:r w:rsidRPr="00086916">
          <w:rPr>
            <w:rStyle w:val="Hyperlink3"/>
            <w:rFonts w:ascii="Calibri" w:hAnsi="Calibri" w:cs="Calibri"/>
            <w:b/>
            <w:bCs/>
            <w:sz w:val="26"/>
            <w:szCs w:val="26"/>
          </w:rPr>
          <w:t>S. 1339</w:t>
        </w:r>
      </w:hyperlink>
      <w:r>
        <w:rPr>
          <w:rStyle w:val="None"/>
          <w:rFonts w:ascii="Arial" w:hAnsi="Arial"/>
          <w:b/>
          <w:bCs/>
          <w:sz w:val="26"/>
          <w:szCs w:val="26"/>
          <w:shd w:val="clear" w:color="auto" w:fill="FFFFFF"/>
        </w:rPr>
        <w:t xml:space="preserve">, </w:t>
      </w:r>
      <w:r>
        <w:rPr>
          <w:rStyle w:val="None"/>
          <w:rFonts w:ascii="Calibri" w:hAnsi="Calibri"/>
          <w:b/>
          <w:bCs/>
          <w:sz w:val="26"/>
          <w:szCs w:val="26"/>
          <w:shd w:val="clear" w:color="auto" w:fill="FFFFFF"/>
        </w:rPr>
        <w:t>Pharmacy Benefit Manager Reform Act</w:t>
      </w:r>
    </w:p>
    <w:p w14:paraId="215AC53E" w14:textId="77777777" w:rsidR="007D360A" w:rsidRDefault="00000000">
      <w:pPr>
        <w:pStyle w:val="Default"/>
        <w:numPr>
          <w:ilvl w:val="3"/>
          <w:numId w:val="8"/>
        </w:numPr>
        <w:spacing w:before="0" w:line="240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"/>
          <w:rFonts w:ascii="Calibri" w:hAnsi="Calibri"/>
          <w:b/>
          <w:bCs/>
          <w:sz w:val="26"/>
          <w:szCs w:val="26"/>
          <w:shd w:val="clear" w:color="auto" w:fill="FFFFFF"/>
        </w:rPr>
        <w:t>Generic Drugs</w:t>
      </w:r>
    </w:p>
    <w:p w14:paraId="324D9A64" w14:textId="77777777" w:rsidR="007D360A" w:rsidRDefault="00000000">
      <w:pPr>
        <w:pStyle w:val="Default"/>
        <w:numPr>
          <w:ilvl w:val="4"/>
          <w:numId w:val="8"/>
        </w:numPr>
        <w:spacing w:before="0" w:line="240" w:lineRule="auto"/>
        <w:rPr>
          <w:rFonts w:ascii="Arial" w:eastAsia="Arial" w:hAnsi="Arial" w:cs="Arial"/>
          <w:b/>
          <w:bCs/>
          <w:sz w:val="26"/>
          <w:szCs w:val="26"/>
        </w:rPr>
      </w:pPr>
      <w:hyperlink r:id="rId19" w:history="1">
        <w:r w:rsidRPr="00086916">
          <w:rPr>
            <w:rStyle w:val="Hyperlink4"/>
            <w:rFonts w:ascii="Calibri" w:hAnsi="Calibri" w:cs="Calibri"/>
            <w:b/>
            <w:bCs/>
            <w:sz w:val="26"/>
            <w:szCs w:val="26"/>
          </w:rPr>
          <w:t>S. 1607</w:t>
        </w:r>
      </w:hyperlink>
      <w:r>
        <w:rPr>
          <w:rStyle w:val="None"/>
          <w:rFonts w:ascii="Arial" w:hAnsi="Arial"/>
          <w:b/>
          <w:bCs/>
          <w:sz w:val="26"/>
          <w:szCs w:val="26"/>
          <w:shd w:val="clear" w:color="auto" w:fill="FFFFFF"/>
        </w:rPr>
        <w:t xml:space="preserve">, </w:t>
      </w:r>
      <w:r>
        <w:rPr>
          <w:rStyle w:val="None"/>
          <w:rFonts w:ascii="Calibri" w:hAnsi="Calibri"/>
          <w:b/>
          <w:bCs/>
          <w:sz w:val="26"/>
          <w:szCs w:val="26"/>
          <w:shd w:val="clear" w:color="auto" w:fill="FFFFFF"/>
        </w:rPr>
        <w:t>Ensuring Timely Access to Generic Drugs Act</w:t>
      </w:r>
    </w:p>
    <w:p w14:paraId="6628B103" w14:textId="77777777" w:rsidR="007D360A" w:rsidRDefault="00000000">
      <w:pPr>
        <w:pStyle w:val="Default"/>
        <w:numPr>
          <w:ilvl w:val="4"/>
          <w:numId w:val="8"/>
        </w:numPr>
        <w:spacing w:before="0" w:line="240" w:lineRule="auto"/>
        <w:rPr>
          <w:rFonts w:ascii="Arial" w:eastAsia="Arial" w:hAnsi="Arial" w:cs="Arial"/>
          <w:b/>
          <w:bCs/>
          <w:sz w:val="26"/>
          <w:szCs w:val="26"/>
        </w:rPr>
      </w:pPr>
      <w:hyperlink r:id="rId20" w:history="1">
        <w:r w:rsidRPr="00086916">
          <w:rPr>
            <w:rStyle w:val="Hyperlink5"/>
            <w:rFonts w:ascii="Calibri" w:hAnsi="Calibri" w:cs="Calibri"/>
            <w:b/>
            <w:bCs/>
            <w:sz w:val="26"/>
            <w:szCs w:val="26"/>
          </w:rPr>
          <w:t>S. 1114</w:t>
        </w:r>
      </w:hyperlink>
      <w:r>
        <w:rPr>
          <w:rStyle w:val="None"/>
          <w:rFonts w:ascii="Arial" w:hAnsi="Arial"/>
          <w:b/>
          <w:bCs/>
          <w:sz w:val="26"/>
          <w:szCs w:val="26"/>
          <w:shd w:val="clear" w:color="auto" w:fill="FFFFFF"/>
        </w:rPr>
        <w:t xml:space="preserve">, </w:t>
      </w:r>
      <w:r>
        <w:rPr>
          <w:rStyle w:val="None"/>
          <w:rFonts w:ascii="Calibri" w:hAnsi="Calibri"/>
          <w:b/>
          <w:bCs/>
          <w:sz w:val="26"/>
          <w:szCs w:val="26"/>
          <w:shd w:val="clear" w:color="auto" w:fill="FFFFFF"/>
        </w:rPr>
        <w:t>Expanding Access to Low-Cost Generic Act</w:t>
      </w:r>
    </w:p>
    <w:p w14:paraId="421BB341" w14:textId="77777777" w:rsidR="007D360A" w:rsidRDefault="00000000">
      <w:pPr>
        <w:pStyle w:val="Default"/>
        <w:numPr>
          <w:ilvl w:val="2"/>
          <w:numId w:val="9"/>
        </w:numPr>
        <w:spacing w:before="0" w:line="240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"/>
          <w:rFonts w:ascii="Calibri" w:hAnsi="Calibri"/>
          <w:b/>
          <w:bCs/>
          <w:sz w:val="26"/>
          <w:szCs w:val="26"/>
          <w:shd w:val="clear" w:color="auto" w:fill="FFFFFF"/>
        </w:rPr>
        <w:lastRenderedPageBreak/>
        <w:t>House Energy and Commerce Markups</w:t>
      </w:r>
    </w:p>
    <w:p w14:paraId="3BB8A56C" w14:textId="77777777" w:rsidR="007D360A" w:rsidRDefault="00000000">
      <w:pPr>
        <w:pStyle w:val="BodyB"/>
        <w:numPr>
          <w:ilvl w:val="3"/>
          <w:numId w:val="9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21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House Energy and Commerce Health Subcommittee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 xml:space="preserve"> - </w:t>
      </w:r>
      <w:hyperlink r:id="rId22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Combination of 17 Bills</w:t>
        </w:r>
      </w:hyperlink>
    </w:p>
    <w:p w14:paraId="35AEEDC9" w14:textId="77777777" w:rsidR="007D360A" w:rsidRDefault="00000000">
      <w:pPr>
        <w:pStyle w:val="BodyB"/>
        <w:numPr>
          <w:ilvl w:val="5"/>
          <w:numId w:val="9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"/>
          <w:rFonts w:ascii="Calibri" w:hAnsi="Calibri"/>
          <w:b/>
          <w:bCs/>
          <w:sz w:val="26"/>
          <w:szCs w:val="26"/>
          <w:u w:color="0000FF"/>
        </w:rPr>
        <w:t>PBM Reform</w:t>
      </w:r>
    </w:p>
    <w:p w14:paraId="12E511C9" w14:textId="77777777" w:rsidR="007D360A" w:rsidRDefault="00000000">
      <w:pPr>
        <w:pStyle w:val="BodyB"/>
        <w:numPr>
          <w:ilvl w:val="6"/>
          <w:numId w:val="9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23" w:history="1">
        <w:r>
          <w:rPr>
            <w:rStyle w:val="Hyperlink6"/>
            <w:rFonts w:ascii="Calibri" w:hAnsi="Calibri"/>
            <w:b/>
            <w:bCs/>
            <w:sz w:val="26"/>
            <w:szCs w:val="26"/>
          </w:rPr>
          <w:t>H.R. 2679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>,  PBM Accountability Act</w:t>
      </w:r>
    </w:p>
    <w:p w14:paraId="78E816B8" w14:textId="77777777" w:rsidR="007D360A" w:rsidRDefault="00000000">
      <w:pPr>
        <w:pStyle w:val="BodyB"/>
        <w:numPr>
          <w:ilvl w:val="6"/>
          <w:numId w:val="10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24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H.R. 1613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>, Drug Price Transparency in Medicaid Act</w:t>
      </w:r>
    </w:p>
    <w:p w14:paraId="7ABC94B7" w14:textId="77777777" w:rsidR="007D360A" w:rsidRDefault="00000000">
      <w:pPr>
        <w:pStyle w:val="BodyB"/>
        <w:numPr>
          <w:ilvl w:val="5"/>
          <w:numId w:val="9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Generic Drugs</w:t>
      </w:r>
    </w:p>
    <w:p w14:paraId="2FA224B2" w14:textId="77777777" w:rsidR="007D360A" w:rsidRDefault="00000000">
      <w:pPr>
        <w:pStyle w:val="BodyB"/>
        <w:numPr>
          <w:ilvl w:val="6"/>
          <w:numId w:val="9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25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 xml:space="preserve"> H.R. 7032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>, Increasing Transparency in Generic Drug Applications Act</w:t>
      </w:r>
    </w:p>
    <w:p w14:paraId="7A669003" w14:textId="77777777" w:rsidR="007D360A" w:rsidRDefault="00000000">
      <w:pPr>
        <w:pStyle w:val="BodyB"/>
        <w:numPr>
          <w:ilvl w:val="5"/>
          <w:numId w:val="9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Medicaid Gene Therapy</w:t>
      </w:r>
    </w:p>
    <w:p w14:paraId="4BAFAAA4" w14:textId="77777777" w:rsidR="007D360A" w:rsidRDefault="00000000">
      <w:pPr>
        <w:pStyle w:val="BodyB"/>
        <w:numPr>
          <w:ilvl w:val="6"/>
          <w:numId w:val="9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26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H.R. 2666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>, Medicaid VBPs for Patients (MVP) Act</w:t>
      </w:r>
    </w:p>
    <w:p w14:paraId="2D32309E" w14:textId="77777777" w:rsidR="007D360A" w:rsidRDefault="00000000">
      <w:pPr>
        <w:pStyle w:val="BodyB"/>
        <w:numPr>
          <w:ilvl w:val="3"/>
          <w:numId w:val="11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27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House Energy and Commerce Full Committee Markup</w:t>
        </w:r>
      </w:hyperlink>
    </w:p>
    <w:p w14:paraId="797FEB78" w14:textId="77777777" w:rsidR="007D360A" w:rsidRDefault="00000000">
      <w:pPr>
        <w:pStyle w:val="BodyB"/>
        <w:numPr>
          <w:ilvl w:val="4"/>
          <w:numId w:val="11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 xml:space="preserve">Considered Bills </w:t>
      </w:r>
      <w:proofErr w:type="gramStart"/>
      <w:r>
        <w:rPr>
          <w:rStyle w:val="NoneA"/>
          <w:rFonts w:ascii="Calibri" w:hAnsi="Calibri"/>
          <w:b/>
          <w:bCs/>
          <w:sz w:val="26"/>
          <w:szCs w:val="26"/>
        </w:rPr>
        <w:t>From</w:t>
      </w:r>
      <w:proofErr w:type="gramEnd"/>
      <w:r>
        <w:rPr>
          <w:rStyle w:val="NoneA"/>
          <w:rFonts w:ascii="Calibri" w:hAnsi="Calibri"/>
          <w:b/>
          <w:bCs/>
          <w:sz w:val="26"/>
          <w:szCs w:val="26"/>
        </w:rPr>
        <w:t xml:space="preserve"> Health Subcommittee</w:t>
      </w:r>
    </w:p>
    <w:p w14:paraId="3B796523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House Oversight Committee Hearing - PBM Reform</w:t>
      </w:r>
    </w:p>
    <w:p w14:paraId="3B29C403" w14:textId="77777777" w:rsidR="007D360A" w:rsidRDefault="00000000">
      <w:pPr>
        <w:pStyle w:val="BodyB"/>
        <w:spacing w:line="259" w:lineRule="auto"/>
        <w:ind w:left="2160"/>
        <w:rPr>
          <w:rStyle w:val="None"/>
          <w:rFonts w:ascii="Calibri" w:eastAsia="Calibri" w:hAnsi="Calibri" w:cs="Calibri"/>
          <w:b/>
          <w:bCs/>
          <w:sz w:val="26"/>
          <w:szCs w:val="26"/>
        </w:rPr>
      </w:pPr>
      <w:hyperlink r:id="rId28" w:history="1">
        <w:r>
          <w:rPr>
            <w:rStyle w:val="Hyperlink7"/>
          </w:rPr>
          <w:t>The Role of Pharmacy Benefit Managers in Prescription Drug Markets Part I: Self-Interest or Health Care?</w:t>
        </w:r>
      </w:hyperlink>
    </w:p>
    <w:p w14:paraId="4C5167D4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29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 xml:space="preserve">FTC Inquiry </w:t>
        </w:r>
        <w:proofErr w:type="gramStart"/>
        <w:r>
          <w:rPr>
            <w:rStyle w:val="Hyperlink1"/>
            <w:rFonts w:ascii="Calibri" w:hAnsi="Calibri"/>
            <w:b/>
            <w:bCs/>
            <w:sz w:val="26"/>
            <w:szCs w:val="26"/>
          </w:rPr>
          <w:t>Into</w:t>
        </w:r>
        <w:proofErr w:type="gramEnd"/>
        <w:r>
          <w:rPr>
            <w:rStyle w:val="Hyperlink1"/>
            <w:rFonts w:ascii="Calibri" w:hAnsi="Calibri"/>
            <w:b/>
            <w:bCs/>
            <w:sz w:val="26"/>
            <w:szCs w:val="26"/>
          </w:rPr>
          <w:t xml:space="preserve"> PBMs</w:t>
        </w:r>
      </w:hyperlink>
    </w:p>
    <w:p w14:paraId="6A090774" w14:textId="77777777" w:rsidR="007D360A" w:rsidRDefault="00000000">
      <w:pPr>
        <w:pStyle w:val="BodyB"/>
        <w:numPr>
          <w:ilvl w:val="1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House Ways and Means Health Subcommittee Hearing</w:t>
      </w:r>
    </w:p>
    <w:p w14:paraId="776FEC5E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30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Examining Policies that Inhibit Innovation and Patient Access</w:t>
        </w:r>
      </w:hyperlink>
    </w:p>
    <w:p w14:paraId="1BCBBC53" w14:textId="77777777" w:rsidR="007D360A" w:rsidRDefault="00000000">
      <w:pPr>
        <w:pStyle w:val="BodyB"/>
        <w:spacing w:line="259" w:lineRule="auto"/>
        <w:ind w:left="2176"/>
        <w:rPr>
          <w:rStyle w:val="None"/>
          <w:rFonts w:ascii="Calibri" w:eastAsia="Calibri" w:hAnsi="Calibri" w:cs="Calibri"/>
          <w:b/>
          <w:bCs/>
          <w:sz w:val="26"/>
          <w:szCs w:val="26"/>
        </w:rPr>
      </w:pPr>
      <w:r>
        <w:rPr>
          <w:rStyle w:val="None"/>
          <w:rFonts w:ascii="Calibri" w:hAnsi="Calibri"/>
          <w:b/>
          <w:bCs/>
          <w:sz w:val="26"/>
          <w:szCs w:val="26"/>
        </w:rPr>
        <w:t xml:space="preserve">Rep. Blake Moore Comments on MCIT/TCET </w:t>
      </w:r>
      <w:hyperlink r:id="rId31" w:history="1">
        <w:r>
          <w:rPr>
            <w:rStyle w:val="Hyperlink8"/>
          </w:rPr>
          <w:t xml:space="preserve">HERE </w:t>
        </w:r>
      </w:hyperlink>
      <w:r>
        <w:rPr>
          <w:rStyle w:val="None"/>
          <w:rFonts w:ascii="Calibri" w:hAnsi="Calibri"/>
          <w:b/>
          <w:bCs/>
          <w:sz w:val="26"/>
          <w:szCs w:val="26"/>
        </w:rPr>
        <w:t>at 2 Hours, 10 Minutes</w:t>
      </w:r>
    </w:p>
    <w:p w14:paraId="72047E76" w14:textId="77777777" w:rsidR="007D360A" w:rsidRDefault="00000000">
      <w:pPr>
        <w:pStyle w:val="BodyB"/>
        <w:numPr>
          <w:ilvl w:val="1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32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H.R.1691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 xml:space="preserve">, Ensuring Patient Access to Critical Breakthrough Products Act </w:t>
      </w:r>
    </w:p>
    <w:p w14:paraId="31746B8E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33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Cosponsors</w:t>
        </w:r>
      </w:hyperlink>
      <w:r>
        <w:rPr>
          <w:rStyle w:val="NoneA"/>
          <w:rFonts w:ascii="Calibri" w:hAnsi="Calibri"/>
          <w:b/>
          <w:bCs/>
          <w:sz w:val="26"/>
          <w:szCs w:val="26"/>
        </w:rPr>
        <w:t xml:space="preserve"> - Rep. John Curtis</w:t>
      </w:r>
    </w:p>
    <w:p w14:paraId="5A4EF5A2" w14:textId="77777777" w:rsidR="007D360A" w:rsidRDefault="00000000">
      <w:pPr>
        <w:pStyle w:val="BodyB"/>
        <w:numPr>
          <w:ilvl w:val="1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Ethylene Oxide (</w:t>
      </w:r>
      <w:proofErr w:type="spellStart"/>
      <w:r>
        <w:rPr>
          <w:rStyle w:val="NoneA"/>
          <w:rFonts w:ascii="Calibri" w:hAnsi="Calibri"/>
          <w:b/>
          <w:bCs/>
          <w:sz w:val="26"/>
          <w:szCs w:val="26"/>
        </w:rPr>
        <w:t>EtO</w:t>
      </w:r>
      <w:proofErr w:type="spellEnd"/>
      <w:r>
        <w:rPr>
          <w:rStyle w:val="NoneA"/>
          <w:rFonts w:ascii="Calibri" w:hAnsi="Calibri"/>
          <w:b/>
          <w:bCs/>
          <w:sz w:val="26"/>
          <w:szCs w:val="26"/>
        </w:rPr>
        <w:t>) Regulation</w:t>
      </w:r>
    </w:p>
    <w:p w14:paraId="223239E5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34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National Emission Standards for Hazardous Air Pollutants (NESHAP) EPA Proposed Rule</w:t>
        </w:r>
      </w:hyperlink>
    </w:p>
    <w:p w14:paraId="7BE3CB32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hyperlink r:id="rId35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Federal Insecticide, Fungicide, and Rodenticide Act (FIFRA) EPA Proposal</w:t>
        </w:r>
      </w:hyperlink>
    </w:p>
    <w:p w14:paraId="6CF74887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 xml:space="preserve">EPA Public Hearing - Kelvyn Cullimore </w:t>
      </w:r>
      <w:hyperlink r:id="rId36" w:history="1">
        <w:r>
          <w:rPr>
            <w:rStyle w:val="Hyperlink1"/>
            <w:rFonts w:ascii="Calibri" w:hAnsi="Calibri"/>
            <w:b/>
            <w:bCs/>
            <w:sz w:val="26"/>
            <w:szCs w:val="26"/>
          </w:rPr>
          <w:t>Statement</w:t>
        </w:r>
      </w:hyperlink>
    </w:p>
    <w:p w14:paraId="65A65D8C" w14:textId="77777777" w:rsidR="007D360A" w:rsidRDefault="00000000">
      <w:pPr>
        <w:pStyle w:val="BodyB"/>
        <w:numPr>
          <w:ilvl w:val="2"/>
          <w:numId w:val="7"/>
        </w:numPr>
        <w:spacing w:line="259" w:lineRule="auto"/>
        <w:rPr>
          <w:rFonts w:ascii="Calibri" w:hAnsi="Calibri"/>
          <w:b/>
          <w:bCs/>
          <w:sz w:val="26"/>
          <w:szCs w:val="26"/>
        </w:rPr>
      </w:pPr>
      <w:r>
        <w:rPr>
          <w:rStyle w:val="NoneA"/>
          <w:rFonts w:ascii="Calibri" w:hAnsi="Calibri"/>
          <w:b/>
          <w:bCs/>
          <w:sz w:val="26"/>
          <w:szCs w:val="26"/>
        </w:rPr>
        <w:t>Written Comments Due June 12.</w:t>
      </w:r>
    </w:p>
    <w:p w14:paraId="3A5FC377" w14:textId="77777777" w:rsidR="007D360A" w:rsidRDefault="007D360A">
      <w:pPr>
        <w:pStyle w:val="BodyB"/>
        <w:spacing w:line="259" w:lineRule="auto"/>
        <w:rPr>
          <w:rStyle w:val="None"/>
          <w:rFonts w:ascii="Calibri" w:eastAsia="Calibri" w:hAnsi="Calibri" w:cs="Calibri"/>
          <w:b/>
          <w:bCs/>
          <w:sz w:val="26"/>
          <w:szCs w:val="26"/>
        </w:rPr>
      </w:pPr>
    </w:p>
    <w:p w14:paraId="06DA6C86" w14:textId="77777777" w:rsidR="007D360A" w:rsidRDefault="00000000">
      <w:pPr>
        <w:pStyle w:val="BodyBA"/>
        <w:numPr>
          <w:ilvl w:val="0"/>
          <w:numId w:val="14"/>
        </w:numPr>
        <w:rPr>
          <w:rFonts w:ascii="Calibri" w:hAnsi="Calibri"/>
          <w:b/>
          <w:bCs/>
          <w:sz w:val="26"/>
          <w:szCs w:val="26"/>
          <w:lang w:val="en-US"/>
        </w:rPr>
      </w:pPr>
      <w:r>
        <w:rPr>
          <w:rStyle w:val="None"/>
          <w:rFonts w:ascii="Calibri" w:hAnsi="Calibri"/>
          <w:b/>
          <w:bCs/>
          <w:sz w:val="26"/>
          <w:szCs w:val="26"/>
          <w:lang w:val="en-US"/>
        </w:rPr>
        <w:t xml:space="preserve">FUTURE CALLS </w:t>
      </w:r>
    </w:p>
    <w:p w14:paraId="0481FE51" w14:textId="77777777" w:rsidR="007D360A" w:rsidRDefault="00000000">
      <w:pPr>
        <w:pStyle w:val="BodyBA"/>
        <w:numPr>
          <w:ilvl w:val="1"/>
          <w:numId w:val="13"/>
        </w:numPr>
        <w:rPr>
          <w:rFonts w:ascii="Calibri" w:hAnsi="Calibri"/>
          <w:sz w:val="26"/>
          <w:szCs w:val="26"/>
          <w:lang w:val="en-US"/>
        </w:rPr>
      </w:pPr>
      <w:r>
        <w:rPr>
          <w:rStyle w:val="None"/>
          <w:rFonts w:ascii="Calibri" w:hAnsi="Calibri"/>
          <w:sz w:val="26"/>
          <w:szCs w:val="26"/>
          <w:lang w:val="en-US"/>
        </w:rPr>
        <w:t xml:space="preserve">June 22, 2023 </w:t>
      </w:r>
    </w:p>
    <w:p w14:paraId="0A060E4B" w14:textId="77777777" w:rsidR="007D360A" w:rsidRDefault="00000000">
      <w:pPr>
        <w:pStyle w:val="BodyBA"/>
        <w:numPr>
          <w:ilvl w:val="1"/>
          <w:numId w:val="13"/>
        </w:numPr>
        <w:rPr>
          <w:rFonts w:ascii="Calibri" w:hAnsi="Calibri"/>
          <w:sz w:val="26"/>
          <w:szCs w:val="26"/>
          <w:lang w:val="en-US"/>
        </w:rPr>
      </w:pPr>
      <w:r>
        <w:rPr>
          <w:rStyle w:val="None"/>
          <w:rFonts w:ascii="Calibri" w:hAnsi="Calibri"/>
          <w:sz w:val="26"/>
          <w:szCs w:val="26"/>
          <w:lang w:val="en-US"/>
        </w:rPr>
        <w:t xml:space="preserve">July – No Meeting </w:t>
      </w:r>
    </w:p>
    <w:p w14:paraId="255F14CF" w14:textId="77777777" w:rsidR="007D360A" w:rsidRDefault="007D360A">
      <w:pPr>
        <w:pStyle w:val="BodyBA"/>
        <w:ind w:left="1412"/>
        <w:rPr>
          <w:rStyle w:val="None"/>
          <w:rFonts w:ascii="Calibri" w:eastAsia="Calibri" w:hAnsi="Calibri" w:cs="Calibri"/>
          <w:sz w:val="26"/>
          <w:szCs w:val="26"/>
        </w:rPr>
      </w:pPr>
    </w:p>
    <w:p w14:paraId="4BAE2091" w14:textId="77777777" w:rsidR="007D360A" w:rsidRDefault="00000000">
      <w:pPr>
        <w:pStyle w:val="BodyBA"/>
        <w:numPr>
          <w:ilvl w:val="0"/>
          <w:numId w:val="13"/>
        </w:numPr>
        <w:rPr>
          <w:rFonts w:ascii="Calibri" w:hAnsi="Calibri"/>
          <w:sz w:val="26"/>
          <w:szCs w:val="26"/>
          <w:lang w:val="en-US"/>
        </w:rPr>
      </w:pPr>
      <w:r>
        <w:rPr>
          <w:rStyle w:val="None"/>
          <w:rFonts w:ascii="Calibri" w:hAnsi="Calibri"/>
          <w:b/>
          <w:bCs/>
          <w:sz w:val="26"/>
          <w:szCs w:val="26"/>
          <w:lang w:val="en-US"/>
        </w:rPr>
        <w:t xml:space="preserve">FUTURE EVENTS </w:t>
      </w:r>
    </w:p>
    <w:p w14:paraId="72242C92" w14:textId="77777777" w:rsidR="007D360A" w:rsidRDefault="00000000">
      <w:pPr>
        <w:pStyle w:val="BodyBA"/>
        <w:numPr>
          <w:ilvl w:val="1"/>
          <w:numId w:val="13"/>
        </w:numPr>
        <w:rPr>
          <w:rFonts w:ascii="Calibri" w:hAnsi="Calibri"/>
          <w:sz w:val="26"/>
          <w:szCs w:val="26"/>
          <w:lang w:val="en-US"/>
        </w:rPr>
      </w:pPr>
      <w:r>
        <w:rPr>
          <w:rStyle w:val="None"/>
          <w:rFonts w:ascii="Calibri" w:hAnsi="Calibri"/>
          <w:sz w:val="26"/>
          <w:szCs w:val="26"/>
          <w:lang w:val="en-US"/>
        </w:rPr>
        <w:t>Fall Barbeque – September 14, 2023</w:t>
      </w:r>
    </w:p>
    <w:p w14:paraId="70CECB55" w14:textId="77777777" w:rsidR="007D360A" w:rsidRDefault="00000000">
      <w:pPr>
        <w:pStyle w:val="BodyBA"/>
        <w:numPr>
          <w:ilvl w:val="1"/>
          <w:numId w:val="15"/>
        </w:numPr>
        <w:rPr>
          <w:sz w:val="26"/>
          <w:szCs w:val="26"/>
          <w:lang w:val="en-US"/>
        </w:rPr>
      </w:pPr>
      <w:r>
        <w:rPr>
          <w:rStyle w:val="None"/>
          <w:rFonts w:ascii="Calibri" w:hAnsi="Calibri"/>
          <w:sz w:val="26"/>
          <w:szCs w:val="26"/>
          <w:lang w:val="en-US"/>
        </w:rPr>
        <w:t>BioUtah Summit – November 9, 2023</w:t>
      </w:r>
    </w:p>
    <w:sectPr w:rsidR="007D360A">
      <w:headerReference w:type="default" r:id="rId37"/>
      <w:footerReference w:type="default" r:id="rId38"/>
      <w:pgSz w:w="12240" w:h="15840"/>
      <w:pgMar w:top="360" w:right="108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81EC" w14:textId="77777777" w:rsidR="00EE032E" w:rsidRDefault="00EE032E">
      <w:r>
        <w:separator/>
      </w:r>
    </w:p>
  </w:endnote>
  <w:endnote w:type="continuationSeparator" w:id="0">
    <w:p w14:paraId="72B753E8" w14:textId="77777777" w:rsidR="00EE032E" w:rsidRDefault="00EE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10B9" w14:textId="77777777" w:rsidR="007D360A" w:rsidRDefault="007D360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0ED2" w14:textId="77777777" w:rsidR="00EE032E" w:rsidRDefault="00EE032E">
      <w:r>
        <w:separator/>
      </w:r>
    </w:p>
  </w:footnote>
  <w:footnote w:type="continuationSeparator" w:id="0">
    <w:p w14:paraId="68A13D6E" w14:textId="77777777" w:rsidR="00EE032E" w:rsidRDefault="00EE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02CE" w14:textId="77777777" w:rsidR="007D360A" w:rsidRDefault="007D360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46ED"/>
    <w:multiLevelType w:val="hybridMultilevel"/>
    <w:tmpl w:val="69729CFC"/>
    <w:styleLink w:val="ImportedStyle10"/>
    <w:lvl w:ilvl="0" w:tplc="F67EED12">
      <w:start w:val="1"/>
      <w:numFmt w:val="decimal"/>
      <w:lvlText w:val="%1."/>
      <w:lvlJc w:val="left"/>
      <w:pPr>
        <w:ind w:left="692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FEF810">
      <w:start w:val="1"/>
      <w:numFmt w:val="lowerLetter"/>
      <w:lvlText w:val="%2."/>
      <w:lvlJc w:val="left"/>
      <w:pPr>
        <w:ind w:left="1412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B042">
      <w:start w:val="1"/>
      <w:numFmt w:val="lowerRoman"/>
      <w:lvlText w:val="%3."/>
      <w:lvlJc w:val="left"/>
      <w:pPr>
        <w:ind w:left="217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644D9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BAA08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9C347E">
      <w:start w:val="1"/>
      <w:numFmt w:val="lowerRoman"/>
      <w:lvlText w:val="%6."/>
      <w:lvlJc w:val="left"/>
      <w:pPr>
        <w:ind w:left="43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2558A">
      <w:start w:val="1"/>
      <w:numFmt w:val="decimal"/>
      <w:lvlText w:val="%7."/>
      <w:lvlJc w:val="left"/>
      <w:pPr>
        <w:ind w:left="501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DAE506">
      <w:start w:val="1"/>
      <w:numFmt w:val="lowerLetter"/>
      <w:lvlText w:val="%8."/>
      <w:lvlJc w:val="left"/>
      <w:pPr>
        <w:ind w:left="573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3CA0C6">
      <w:start w:val="1"/>
      <w:numFmt w:val="lowerRoman"/>
      <w:lvlText w:val="%9."/>
      <w:lvlJc w:val="left"/>
      <w:pPr>
        <w:ind w:left="6455" w:hanging="3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037D9C"/>
    <w:multiLevelType w:val="hybridMultilevel"/>
    <w:tmpl w:val="5CCA2A78"/>
    <w:styleLink w:val="ImportedStyle111"/>
    <w:lvl w:ilvl="0" w:tplc="BD54D73C">
      <w:start w:val="1"/>
      <w:numFmt w:val="decimal"/>
      <w:lvlText w:val="%1."/>
      <w:lvlJc w:val="left"/>
      <w:pPr>
        <w:ind w:left="897" w:hanging="5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AB5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D24B4A">
      <w:start w:val="1"/>
      <w:numFmt w:val="lowerRoman"/>
      <w:lvlText w:val="%3."/>
      <w:lvlJc w:val="left"/>
      <w:pPr>
        <w:ind w:left="217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CA376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A4F22C">
      <w:start w:val="1"/>
      <w:numFmt w:val="lowerLetter"/>
      <w:lvlText w:val="%5."/>
      <w:lvlJc w:val="left"/>
      <w:pPr>
        <w:ind w:left="3572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20A9D0">
      <w:start w:val="1"/>
      <w:numFmt w:val="lowerRoman"/>
      <w:lvlText w:val="%6."/>
      <w:lvlJc w:val="left"/>
      <w:pPr>
        <w:ind w:left="4295" w:hanging="3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BC2B8A">
      <w:start w:val="1"/>
      <w:numFmt w:val="decimal"/>
      <w:lvlText w:val="%7."/>
      <w:lvlJc w:val="left"/>
      <w:pPr>
        <w:ind w:left="501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CB708">
      <w:start w:val="1"/>
      <w:numFmt w:val="lowerLetter"/>
      <w:lvlText w:val="%8."/>
      <w:lvlJc w:val="left"/>
      <w:pPr>
        <w:ind w:left="573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DCC0">
      <w:start w:val="1"/>
      <w:numFmt w:val="lowerRoman"/>
      <w:lvlText w:val="%9."/>
      <w:lvlJc w:val="left"/>
      <w:pPr>
        <w:ind w:left="6455" w:hanging="3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3F02A3"/>
    <w:multiLevelType w:val="hybridMultilevel"/>
    <w:tmpl w:val="5B7064C6"/>
    <w:numStyleLink w:val="ImportedStyle1"/>
  </w:abstractNum>
  <w:abstractNum w:abstractNumId="3" w15:restartNumberingAfterBreak="0">
    <w:nsid w:val="432A5408"/>
    <w:multiLevelType w:val="hybridMultilevel"/>
    <w:tmpl w:val="69729CFC"/>
    <w:numStyleLink w:val="ImportedStyle10"/>
  </w:abstractNum>
  <w:abstractNum w:abstractNumId="4" w15:restartNumberingAfterBreak="0">
    <w:nsid w:val="46C817CE"/>
    <w:multiLevelType w:val="hybridMultilevel"/>
    <w:tmpl w:val="5CCA2A78"/>
    <w:numStyleLink w:val="ImportedStyle111"/>
  </w:abstractNum>
  <w:abstractNum w:abstractNumId="5" w15:restartNumberingAfterBreak="0">
    <w:nsid w:val="57A23CD0"/>
    <w:multiLevelType w:val="hybridMultilevel"/>
    <w:tmpl w:val="5B7064C6"/>
    <w:styleLink w:val="ImportedStyle1"/>
    <w:lvl w:ilvl="0" w:tplc="9D8EFDC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42654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FC0312">
      <w:start w:val="1"/>
      <w:numFmt w:val="lowerRoman"/>
      <w:lvlText w:val="%3."/>
      <w:lvlJc w:val="left"/>
      <w:pPr>
        <w:ind w:left="216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460F42">
      <w:start w:val="1"/>
      <w:numFmt w:val="decimal"/>
      <w:lvlText w:val="%4."/>
      <w:lvlJc w:val="left"/>
      <w:pPr>
        <w:ind w:left="2864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F875A2">
      <w:start w:val="1"/>
      <w:numFmt w:val="lowerLetter"/>
      <w:lvlText w:val="%5."/>
      <w:lvlJc w:val="left"/>
      <w:pPr>
        <w:ind w:left="357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E20116">
      <w:start w:val="1"/>
      <w:numFmt w:val="lowerRoman"/>
      <w:lvlText w:val="%6."/>
      <w:lvlJc w:val="left"/>
      <w:pPr>
        <w:ind w:left="4295" w:hanging="3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66AE7E">
      <w:start w:val="1"/>
      <w:numFmt w:val="decimal"/>
      <w:lvlText w:val="%7."/>
      <w:lvlJc w:val="left"/>
      <w:pPr>
        <w:ind w:left="501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52FD2C">
      <w:start w:val="1"/>
      <w:numFmt w:val="lowerLetter"/>
      <w:lvlText w:val="%8."/>
      <w:lvlJc w:val="left"/>
      <w:pPr>
        <w:ind w:left="573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C0BD66">
      <w:start w:val="1"/>
      <w:numFmt w:val="lowerRoman"/>
      <w:lvlText w:val="%9."/>
      <w:lvlJc w:val="left"/>
      <w:pPr>
        <w:ind w:left="6455" w:hanging="3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4B22CC7"/>
    <w:multiLevelType w:val="hybridMultilevel"/>
    <w:tmpl w:val="6EC016B0"/>
    <w:numStyleLink w:val="ImportedStyle101"/>
  </w:abstractNum>
  <w:abstractNum w:abstractNumId="7" w15:restartNumberingAfterBreak="0">
    <w:nsid w:val="78D7333F"/>
    <w:multiLevelType w:val="hybridMultilevel"/>
    <w:tmpl w:val="6EC016B0"/>
    <w:styleLink w:val="ImportedStyle101"/>
    <w:lvl w:ilvl="0" w:tplc="DCE6224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20843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5090D8">
      <w:start w:val="1"/>
      <w:numFmt w:val="lowerRoman"/>
      <w:lvlText w:val="%3."/>
      <w:lvlJc w:val="left"/>
      <w:pPr>
        <w:ind w:left="217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601C0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4551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E2948">
      <w:start w:val="1"/>
      <w:numFmt w:val="lowerRoman"/>
      <w:lvlText w:val="%6."/>
      <w:lvlJc w:val="left"/>
      <w:pPr>
        <w:ind w:left="43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C84D4">
      <w:start w:val="1"/>
      <w:numFmt w:val="decimal"/>
      <w:lvlText w:val="%7."/>
      <w:lvlJc w:val="left"/>
      <w:pPr>
        <w:ind w:left="501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059E8">
      <w:start w:val="1"/>
      <w:numFmt w:val="lowerLetter"/>
      <w:lvlText w:val="%8."/>
      <w:lvlJc w:val="left"/>
      <w:pPr>
        <w:ind w:left="5734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44E544">
      <w:start w:val="1"/>
      <w:numFmt w:val="lowerRoman"/>
      <w:lvlText w:val="%9."/>
      <w:lvlJc w:val="left"/>
      <w:pPr>
        <w:ind w:left="6455" w:hanging="3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4565">
    <w:abstractNumId w:val="5"/>
  </w:num>
  <w:num w:numId="2" w16cid:durableId="1430927561">
    <w:abstractNumId w:val="2"/>
  </w:num>
  <w:num w:numId="3" w16cid:durableId="628900433">
    <w:abstractNumId w:val="7"/>
  </w:num>
  <w:num w:numId="4" w16cid:durableId="1981570480">
    <w:abstractNumId w:val="6"/>
  </w:num>
  <w:num w:numId="5" w16cid:durableId="1116291500">
    <w:abstractNumId w:val="6"/>
    <w:lvlOverride w:ilvl="0">
      <w:startOverride w:val="2"/>
    </w:lvlOverride>
  </w:num>
  <w:num w:numId="6" w16cid:durableId="1492939191">
    <w:abstractNumId w:val="1"/>
  </w:num>
  <w:num w:numId="7" w16cid:durableId="1198353835">
    <w:abstractNumId w:val="4"/>
  </w:num>
  <w:num w:numId="8" w16cid:durableId="1941838035">
    <w:abstractNumId w:val="4"/>
    <w:lvlOverride w:ilvl="0">
      <w:lvl w:ilvl="0" w:tplc="D2C0B0B8">
        <w:start w:val="1"/>
        <w:numFmt w:val="decimal"/>
        <w:lvlText w:val="%1."/>
        <w:lvlJc w:val="left"/>
        <w:pPr>
          <w:ind w:left="897" w:hanging="5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6CBE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E03C30">
        <w:start w:val="1"/>
        <w:numFmt w:val="lowerRoman"/>
        <w:lvlText w:val="%3."/>
        <w:lvlJc w:val="left"/>
        <w:pPr>
          <w:ind w:left="217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08FE68">
        <w:start w:val="1"/>
        <w:numFmt w:val="decimal"/>
        <w:lvlText w:val="%4."/>
        <w:lvlJc w:val="left"/>
        <w:pPr>
          <w:ind w:left="2852" w:hanging="3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6C1292">
        <w:start w:val="1"/>
        <w:numFmt w:val="lowerLetter"/>
        <w:lvlText w:val="%5."/>
        <w:lvlJc w:val="left"/>
        <w:pPr>
          <w:ind w:left="3572" w:hanging="3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6234C8">
        <w:start w:val="1"/>
        <w:numFmt w:val="lowerRoman"/>
        <w:lvlText w:val="%6."/>
        <w:lvlJc w:val="left"/>
        <w:pPr>
          <w:ind w:left="4295" w:hanging="3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F4F89A">
        <w:start w:val="1"/>
        <w:numFmt w:val="decimal"/>
        <w:lvlText w:val="%7."/>
        <w:lvlJc w:val="left"/>
        <w:pPr>
          <w:ind w:left="5014" w:hanging="33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B2DA6A">
        <w:start w:val="1"/>
        <w:numFmt w:val="lowerLetter"/>
        <w:lvlText w:val="%8."/>
        <w:lvlJc w:val="left"/>
        <w:pPr>
          <w:ind w:left="5734" w:hanging="33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08D4E0">
        <w:start w:val="1"/>
        <w:numFmt w:val="lowerRoman"/>
        <w:lvlText w:val="%9."/>
        <w:lvlJc w:val="left"/>
        <w:pPr>
          <w:ind w:left="6455" w:hanging="3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907952875">
    <w:abstractNumId w:val="4"/>
    <w:lvlOverride w:ilvl="0">
      <w:lvl w:ilvl="0" w:tplc="D2C0B0B8">
        <w:start w:val="1"/>
        <w:numFmt w:val="decimal"/>
        <w:lvlText w:val="%1."/>
        <w:lvlJc w:val="left"/>
        <w:pPr>
          <w:ind w:left="897" w:hanging="5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6CBE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E03C30">
        <w:start w:val="1"/>
        <w:numFmt w:val="lowerRoman"/>
        <w:lvlText w:val="%3."/>
        <w:lvlJc w:val="left"/>
        <w:pPr>
          <w:ind w:left="2148" w:hanging="3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08FE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6C129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6234C8">
        <w:start w:val="1"/>
        <w:numFmt w:val="lowerRoman"/>
        <w:lvlText w:val="%6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F4F89A">
        <w:start w:val="1"/>
        <w:numFmt w:val="decimal"/>
        <w:lvlText w:val="%7."/>
        <w:lvlJc w:val="left"/>
        <w:pPr>
          <w:ind w:left="39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B2DA6A">
        <w:start w:val="1"/>
        <w:numFmt w:val="lowerLetter"/>
        <w:lvlText w:val="%8."/>
        <w:lvlJc w:val="left"/>
        <w:pPr>
          <w:ind w:left="4638" w:hanging="33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08D4E0">
        <w:start w:val="1"/>
        <w:numFmt w:val="lowerRoman"/>
        <w:lvlText w:val="%9."/>
        <w:lvlJc w:val="left"/>
        <w:pPr>
          <w:ind w:left="5359" w:hanging="3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20315102">
    <w:abstractNumId w:val="4"/>
    <w:lvlOverride w:ilvl="0">
      <w:lvl w:ilvl="0" w:tplc="D2C0B0B8">
        <w:start w:val="1"/>
        <w:numFmt w:val="decimal"/>
        <w:lvlText w:val="%1."/>
        <w:lvlJc w:val="left"/>
        <w:pPr>
          <w:ind w:left="897" w:hanging="5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6CBE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E03C30">
        <w:start w:val="1"/>
        <w:numFmt w:val="lowerRoman"/>
        <w:lvlText w:val="%3."/>
        <w:lvlJc w:val="left"/>
        <w:pPr>
          <w:ind w:left="2148" w:hanging="3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08FE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6C129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6234C8">
        <w:start w:val="1"/>
        <w:numFmt w:val="lowerRoman"/>
        <w:lvlText w:val="%6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F4F89A">
        <w:start w:val="1"/>
        <w:numFmt w:val="decimal"/>
        <w:lvlText w:val="%7."/>
        <w:lvlJc w:val="left"/>
        <w:pPr>
          <w:ind w:left="39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B2DA6A">
        <w:start w:val="1"/>
        <w:numFmt w:val="lowerLetter"/>
        <w:lvlText w:val="%8."/>
        <w:lvlJc w:val="left"/>
        <w:pPr>
          <w:ind w:left="466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08D4E0">
        <w:start w:val="1"/>
        <w:numFmt w:val="lowerRoman"/>
        <w:lvlText w:val="%9."/>
        <w:lvlJc w:val="left"/>
        <w:pPr>
          <w:ind w:left="5359" w:hanging="3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863083789">
    <w:abstractNumId w:val="4"/>
    <w:lvlOverride w:ilvl="0">
      <w:lvl w:ilvl="0" w:tplc="D2C0B0B8">
        <w:start w:val="1"/>
        <w:numFmt w:val="decimal"/>
        <w:lvlText w:val="%1."/>
        <w:lvlJc w:val="left"/>
        <w:pPr>
          <w:ind w:left="897" w:hanging="5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6CBE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E03C30">
        <w:start w:val="1"/>
        <w:numFmt w:val="lowerRoman"/>
        <w:lvlText w:val="%3."/>
        <w:lvlJc w:val="left"/>
        <w:pPr>
          <w:ind w:left="2148" w:hanging="3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08FE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6C129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6234C8">
        <w:start w:val="1"/>
        <w:numFmt w:val="lowerRoman"/>
        <w:lvlText w:val="%6."/>
        <w:lvlJc w:val="left"/>
        <w:pPr>
          <w:ind w:left="4295" w:hanging="3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F4F89A">
        <w:start w:val="1"/>
        <w:numFmt w:val="decimal"/>
        <w:lvlText w:val="%7."/>
        <w:lvlJc w:val="left"/>
        <w:pPr>
          <w:ind w:left="5014" w:hanging="33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B2DA6A">
        <w:start w:val="1"/>
        <w:numFmt w:val="lowerLetter"/>
        <w:lvlText w:val="%8."/>
        <w:lvlJc w:val="left"/>
        <w:pPr>
          <w:ind w:left="5734" w:hanging="33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08D4E0">
        <w:start w:val="1"/>
        <w:numFmt w:val="lowerRoman"/>
        <w:lvlText w:val="%9."/>
        <w:lvlJc w:val="left"/>
        <w:pPr>
          <w:ind w:left="6455" w:hanging="3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75870903">
    <w:abstractNumId w:val="0"/>
  </w:num>
  <w:num w:numId="13" w16cid:durableId="640765776">
    <w:abstractNumId w:val="3"/>
  </w:num>
  <w:num w:numId="14" w16cid:durableId="1447849244">
    <w:abstractNumId w:val="3"/>
    <w:lvlOverride w:ilvl="0">
      <w:startOverride w:val="3"/>
    </w:lvlOverride>
  </w:num>
  <w:num w:numId="15" w16cid:durableId="430471876">
    <w:abstractNumId w:val="3"/>
    <w:lvlOverride w:ilvl="0">
      <w:lvl w:ilvl="0" w:tplc="FB78F514">
        <w:start w:val="1"/>
        <w:numFmt w:val="decimal"/>
        <w:lvlText w:val="%1."/>
        <w:lvlJc w:val="left"/>
        <w:pPr>
          <w:ind w:left="692" w:hanging="3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6842F2">
        <w:start w:val="1"/>
        <w:numFmt w:val="lowerLetter"/>
        <w:lvlText w:val="%2."/>
        <w:lvlJc w:val="left"/>
        <w:pPr>
          <w:ind w:left="138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9F3AE682">
        <w:start w:val="1"/>
        <w:numFmt w:val="lowerRoman"/>
        <w:lvlText w:val="%3."/>
        <w:lvlJc w:val="left"/>
        <w:pPr>
          <w:ind w:left="2148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97949FF8">
        <w:start w:val="1"/>
        <w:numFmt w:val="decimal"/>
        <w:lvlText w:val="%4."/>
        <w:lvlJc w:val="left"/>
        <w:pPr>
          <w:ind w:left="285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59BC035C">
        <w:start w:val="1"/>
        <w:numFmt w:val="lowerLetter"/>
        <w:lvlText w:val="%5."/>
        <w:lvlJc w:val="left"/>
        <w:pPr>
          <w:ind w:left="357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1D07370">
        <w:start w:val="1"/>
        <w:numFmt w:val="lowerRoman"/>
        <w:lvlText w:val="%6."/>
        <w:lvlJc w:val="left"/>
        <w:pPr>
          <w:ind w:left="4308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F24D4A4">
        <w:start w:val="1"/>
        <w:numFmt w:val="decimal"/>
        <w:lvlText w:val="%7."/>
        <w:lvlJc w:val="left"/>
        <w:pPr>
          <w:ind w:left="498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365E46A2">
        <w:start w:val="1"/>
        <w:numFmt w:val="lowerLetter"/>
        <w:lvlText w:val="%8."/>
        <w:lvlJc w:val="left"/>
        <w:pPr>
          <w:ind w:left="570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20746950">
        <w:start w:val="1"/>
        <w:numFmt w:val="lowerRoman"/>
        <w:lvlText w:val="%9."/>
        <w:lvlJc w:val="left"/>
        <w:pPr>
          <w:ind w:left="643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0A"/>
    <w:rsid w:val="00086916"/>
    <w:rsid w:val="007D360A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E25A"/>
  <w15:docId w15:val="{CFDFB5D9-5E6B-4B74-AB83-92470FFA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  <w:rPr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 w:color="0000FF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01">
    <w:name w:val="Imported Style 1.01"/>
    <w:pPr>
      <w:numPr>
        <w:numId w:val="3"/>
      </w:numPr>
    </w:pPr>
  </w:style>
  <w:style w:type="numbering" w:customStyle="1" w:styleId="ImportedStyle111">
    <w:name w:val="Imported Style 111"/>
    <w:pPr>
      <w:numPr>
        <w:numId w:val="6"/>
      </w:numPr>
    </w:pPr>
  </w:style>
  <w:style w:type="character" w:customStyle="1" w:styleId="Hyperlink2">
    <w:name w:val="Hyperlink.2"/>
    <w:basedOn w:val="Hyperlink"/>
    <w:rPr>
      <w:outline w:val="0"/>
      <w:color w:val="0000FF"/>
      <w:u w:val="single" w:color="0000FF"/>
    </w:rPr>
  </w:style>
  <w:style w:type="character" w:customStyle="1" w:styleId="Hyperlink3">
    <w:name w:val="Hyperlink.3"/>
    <w:basedOn w:val="None"/>
    <w:rPr>
      <w:outline w:val="0"/>
      <w:color w:val="4300FE"/>
      <w:u w:val="single" w:color="4300FE"/>
      <w:shd w:val="clear" w:color="auto" w:fill="FFFFFF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3000FF"/>
      <w:u w:val="single" w:color="3000FF"/>
      <w:shd w:val="clear" w:color="auto" w:fill="FFFFFF"/>
    </w:rPr>
  </w:style>
  <w:style w:type="character" w:customStyle="1" w:styleId="Hyperlink5">
    <w:name w:val="Hyperlink.5"/>
    <w:basedOn w:val="None"/>
    <w:rPr>
      <w:outline w:val="0"/>
      <w:color w:val="2F02FF"/>
      <w:u w:val="single" w:color="2F02FF"/>
      <w:shd w:val="clear" w:color="auto" w:fill="FFFFFF"/>
    </w:rPr>
  </w:style>
  <w:style w:type="character" w:customStyle="1" w:styleId="Hyperlink6">
    <w:name w:val="Hyperlink.6"/>
    <w:basedOn w:val="None"/>
    <w:rPr>
      <w:outline w:val="0"/>
      <w:color w:val="0000FF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7">
    <w:name w:val="Hyperlink.7"/>
    <w:basedOn w:val="None"/>
    <w:rPr>
      <w:rFonts w:ascii="Calibri" w:eastAsia="Calibri" w:hAnsi="Calibri" w:cs="Calibri"/>
      <w:b/>
      <w:bCs/>
      <w:outline w:val="0"/>
      <w:color w:val="0000FF"/>
      <w:sz w:val="26"/>
      <w:szCs w:val="26"/>
      <w:u w:val="single" w:color="0000FF"/>
    </w:rPr>
  </w:style>
  <w:style w:type="character" w:customStyle="1" w:styleId="Hyperlink8">
    <w:name w:val="Hyperlink.8"/>
    <w:basedOn w:val="None"/>
    <w:rPr>
      <w:rFonts w:ascii="Calibri" w:eastAsia="Calibri" w:hAnsi="Calibri" w:cs="Calibri"/>
      <w:b/>
      <w:bCs/>
      <w:outline w:val="0"/>
      <w:color w:val="1155CC"/>
      <w:sz w:val="26"/>
      <w:szCs w:val="26"/>
      <w:u w:val="single" w:color="1155CC"/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0">
    <w:name w:val="Imported Style 1.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siness.utah.gov/innovation/utif/" TargetMode="External"/><Relationship Id="rId18" Type="http://schemas.openxmlformats.org/officeDocument/2006/relationships/hyperlink" Target="https://www.congress.gov/118/bills/s1339/BILLS-118s1339is.pdf" TargetMode="External"/><Relationship Id="rId26" Type="http://schemas.openxmlformats.org/officeDocument/2006/relationships/hyperlink" Target="https://d1dth6e84htgma.cloudfront.net/BILLS_118hr2666ih_341913a5a4.pdf?updated_at=2023-05-15T20:42:27.386Z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nergycommerce.house.gov/events/a-health-subcommittee-markup-of-17-bills" TargetMode="External"/><Relationship Id="rId34" Type="http://schemas.openxmlformats.org/officeDocument/2006/relationships/hyperlink" Target="https://www.epa.gov/stationary-sources-air-pollution/ethylene-oxide-emissions-standards-sterilization-faciliti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usiness.utah.gov/grants/economic-assistance-grant/" TargetMode="External"/><Relationship Id="rId17" Type="http://schemas.openxmlformats.org/officeDocument/2006/relationships/hyperlink" Target="https://www.lee.senate.gov/2023/5/sen-lee-leads-43-gop-senators-in-opposition-to-raising-debt-limit-without-substantive-spending-and-budget-reforms" TargetMode="External"/><Relationship Id="rId25" Type="http://schemas.openxmlformats.org/officeDocument/2006/relationships/hyperlink" Target="https://kuster.house.gov/uploadedfiles/increasing_transparency_in_generic_drug_applications_act.pdf" TargetMode="External"/><Relationship Id="rId33" Type="http://schemas.openxmlformats.org/officeDocument/2006/relationships/hyperlink" Target="https://www.congress.gov/bill/118th-congress/house-bill/1691/cosponsors?s=2&amp;r=2&amp;q=%257B%2522search%2522:%255B%2522HR+1691%2522%255D%257D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congress.gov/bill/118th-congress/senate-bill/184" TargetMode="External"/><Relationship Id="rId20" Type="http://schemas.openxmlformats.org/officeDocument/2006/relationships/hyperlink" Target="https://www.congress.gov/118/bills/s1114/BILLS-118s1114is.pdf" TargetMode="External"/><Relationship Id="rId29" Type="http://schemas.openxmlformats.org/officeDocument/2006/relationships/hyperlink" Target="https://www.ftc.gov/news-events/news/press-releases/2023/05/ftc-deepens-inquiry-prescription-drug-middlem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siness.utah.gov/manufacturing-modernization-grant/?hilite=Manufacturing+Modernization" TargetMode="External"/><Relationship Id="rId24" Type="http://schemas.openxmlformats.org/officeDocument/2006/relationships/hyperlink" Target="https://www.congress.gov/118/bills/hr1613/BILLS-118hr1613ih.pdf" TargetMode="External"/><Relationship Id="rId32" Type="http://schemas.openxmlformats.org/officeDocument/2006/relationships/hyperlink" Target="https://www.congress.gov/118/bills/hr1691/BILLS-118hr1691ih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ngress.gov/bill/118th-congress/house-bill/277/related-bills" TargetMode="External"/><Relationship Id="rId23" Type="http://schemas.openxmlformats.org/officeDocument/2006/relationships/hyperlink" Target="https://r20.rs6.net/tn.jsp?f=001fnh_ayl8o5Bw6mbb9SfwXSEmTvdouW0jl6sdWAf-eqWIlEL97hmp_zvwQOlr4137NLxI1vZAidcE8o2E49SY0iwCcH0sLSvf6qHMUnWivrSzsdCN4pNKDGzizYJTMmV4NcuMKkChbsojJMgjqJGMZ9ubdFYAljhcldUiNNUb2RcTuAARb81JCvYfNvvCnolKMIOJU9DOeiU2A0FUDLHY3CvbsYIyv7OJ7q0ITy9K3F4C6G4SAFNAowvYIaS0Ul3ub5xGryVewDKgOha9BqsSYg==&amp;c=iNOVnooTfmI8HLjU4d3CU_XuOmTxrahceuu4kixwIxY2db77uqMwrQ==&amp;ch=jkLfpcMvKlmVbjcH_mOEKdApyMRJFEHLFkJ3TJOuzAB3J12xLa-yKA==" TargetMode="External"/><Relationship Id="rId28" Type="http://schemas.openxmlformats.org/officeDocument/2006/relationships/hyperlink" Target="https://oversight.house.gov/hearing/the-role-of-pharmacy-benefit-managers-in-prescription-drug-markets-part-i-self-interest-or-health-care/?mkt_tok=NDkwLUVIWi05OTkAAAGL5_NrkFtZhiZWpeWXePv4LTXsdbE7tbuweNLsQZhQpP2BJMHW55uchA_QBvLcFKi0cVh2FE0VfHqDN-NFTOTlvg1E05FwLRCxd0FLggkT3sZJ" TargetMode="External"/><Relationship Id="rId36" Type="http://schemas.openxmlformats.org/officeDocument/2006/relationships/hyperlink" Target="https://bioutah.org/wp-content/uploads/2023/05/FINAL.BioUtah.NESHAP-Proposed-Rule-Comments.EPA-Public-Hearing-5-2-23.pdf" TargetMode="External"/><Relationship Id="rId10" Type="http://schemas.openxmlformats.org/officeDocument/2006/relationships/hyperlink" Target="https://business.utah.gov/services/" TargetMode="External"/><Relationship Id="rId19" Type="http://schemas.openxmlformats.org/officeDocument/2006/relationships/hyperlink" Target="https://www.congress.gov/118/bills/s1067/BILLS-118s1067is.pdf" TargetMode="External"/><Relationship Id="rId31" Type="http://schemas.openxmlformats.org/officeDocument/2006/relationships/hyperlink" Target="https://youtu.be/_Evwt5DNbjo?t=7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interim/2023/pdf/00002340.pdf" TargetMode="External"/><Relationship Id="rId14" Type="http://schemas.openxmlformats.org/officeDocument/2006/relationships/hyperlink" Target="https://www.speaker.gov/wp-content/uploads/2023/04/LSGA_xml.pdf" TargetMode="External"/><Relationship Id="rId22" Type="http://schemas.openxmlformats.org/officeDocument/2006/relationships/hyperlink" Target="https://energycommerce.house.gov/posts/health-subcommittee-markup-recap-e-and-c-advances-seven-bills-to-lowers-costs-and-expand-access-to-care" TargetMode="External"/><Relationship Id="rId27" Type="http://schemas.openxmlformats.org/officeDocument/2006/relationships/hyperlink" Target="https://energycommerce.house.gov/posts/chair-rodgers-announces-full-committee-markup-of-19-bills" TargetMode="External"/><Relationship Id="rId30" Type="http://schemas.openxmlformats.org/officeDocument/2006/relationships/hyperlink" Target="https://waysandmeans.house.gov/event/health-subcommittee-on-examining-policies-that-inhibit-innovation-and-patient-access/" TargetMode="External"/><Relationship Id="rId35" Type="http://schemas.openxmlformats.org/officeDocument/2006/relationships/hyperlink" Target="https://www.epa.gov/ingredients-used-pesticide-products/regulation-ethylene-oxide-eto-under-federal-insecticide" TargetMode="External"/><Relationship Id="rId8" Type="http://schemas.openxmlformats.org/officeDocument/2006/relationships/hyperlink" Target="https://le.utah.gov/interim/2023/pdf/00002343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Laurie Cullimore</cp:lastModifiedBy>
  <cp:revision>2</cp:revision>
  <dcterms:created xsi:type="dcterms:W3CDTF">2023-05-25T04:09:00Z</dcterms:created>
  <dcterms:modified xsi:type="dcterms:W3CDTF">2023-05-25T04:09:00Z</dcterms:modified>
</cp:coreProperties>
</file>